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527" w:rsidRDefault="00954527" w:rsidP="00954527">
      <w:pPr>
        <w:rPr>
          <w:rFonts w:ascii="Times New Roman" w:hAnsi="Times New Roman"/>
        </w:rPr>
      </w:pPr>
      <w:bookmarkStart w:id="0" w:name="_GoBack"/>
      <w:r w:rsidRPr="005F6C88">
        <w:rPr>
          <w:rFonts w:ascii="Times New Roman" w:hAnsi="Times New Roman"/>
          <w:b/>
          <w:sz w:val="28"/>
          <w:szCs w:val="28"/>
        </w:rPr>
        <w:t>ELENCO DELLE PRESCRIZIONI DEI PROVVEDIMENTI D’ISCRIZIONE DELLA CATEGORIA 2-ter</w:t>
      </w:r>
      <w:r w:rsidRPr="00D60C69">
        <w:rPr>
          <w:rFonts w:ascii="Times New Roman" w:hAnsi="Times New Roman"/>
        </w:rPr>
        <w:t xml:space="preserve"> </w:t>
      </w:r>
    </w:p>
    <w:bookmarkEnd w:id="0"/>
    <w:p w:rsidR="00954527" w:rsidRDefault="00954527" w:rsidP="00954527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Il presente provvedimento viene acquisito elettronicamente dall’impresa dall’area riservata del portale dell’Albo Gestori Ambientali, ed è consultabile e reso disponibile in formato digitale. (Può essere esibito in alternativa su supporto cartaceo). </w:t>
      </w:r>
      <w:r w:rsidRPr="005F6C88">
        <w:rPr>
          <w:rFonts w:ascii="Times New Roman" w:hAnsi="Times New Roman"/>
          <w:b/>
        </w:rPr>
        <w:t>L’impresa è tenuta ad osservare le seguenti prescrizioni:</w:t>
      </w:r>
      <w:r w:rsidRPr="00D60C69">
        <w:rPr>
          <w:rFonts w:ascii="Times New Roman" w:hAnsi="Times New Roman"/>
        </w:rPr>
        <w:t xml:space="preserve"> </w:t>
      </w:r>
    </w:p>
    <w:p w:rsidR="00954527" w:rsidRDefault="00954527" w:rsidP="00954527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1. L'attività di trasporto dei rifiuti deve essere svolta nel rispetto delle disposizioni del decreto legislativo 3 aprile 2006, n. 152, e delle relative norme regolamentari e tecniche di attuazione, e in particolare delle norme vigenti che garantiscono la tracciabilità dei rifiuti; </w:t>
      </w:r>
    </w:p>
    <w:p w:rsidR="00954527" w:rsidRDefault="00954527" w:rsidP="00954527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2. L’idoneità tecnica dei veicoli adibiti al trasporto di rifiuti, attestata dal legale rappresentante secondo le modalità previste dall’articolo 4, comma 1, lettera c), della delibera n. 2 del 24 aprile 2018 deve, essere garantita con interventi periodici di manutenzione ordinaria e straordinaria. In particolare, durante il trasporto dei rifiuti deve essere impedita la dispersione, lo sgocciolamento dei rifiuti, la fuoriuscita di esalazioni moleste e deve essere garantita la protezione dei rifiuti trasportati da agenti atmosferici; i veicoli devono essere sottoposti a pulizie periodiche e comunque, sempre prima di essere adibiti ad altri tipi di trasporto. Deve essere garantito il corretto funzionamento dei recipienti mobili destinati a contenere i rifiuti; </w:t>
      </w:r>
    </w:p>
    <w:p w:rsidR="00954527" w:rsidRDefault="00954527" w:rsidP="00954527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3. È fatto divieto di trasportare rifiuti costituiti da metalli ferrosi e non ferrosi che si presentino allo stato fisico polverulento. Il trasporto dei rifiuti ingombranti di cui al codice EER 20.03.07 è limitato ai rifiuti metallici, con esplicita esclusione dei rifiuti metallici provenienti da apparecchiature elettriche ed elettroniche; </w:t>
      </w:r>
    </w:p>
    <w:p w:rsidR="00954527" w:rsidRDefault="00954527" w:rsidP="00954527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4. Il trasportatore, prima di iniziare il trasporto, deve accertarsi che il destinatario sia munito delle autorizzazioni o iscrizioni previste ai sensi del decreto legislativo 3 aprile 2006, n. 152 e successive modificazioni e integrazioni; </w:t>
      </w:r>
    </w:p>
    <w:p w:rsidR="00954527" w:rsidRDefault="00954527" w:rsidP="00954527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5. I recipienti mobili destinati a contenere i rifiuti devono possedere adeguati requisiti di resistenza in relazione alle proprietà chimico-fisiche ed alle caratteristiche di pericolosità dei rifiuti contenuti e devono essere provvisti di: A – idonee chiusure per impedire la fuoriuscita del contenuto; B – accessori e dispositivi atti ad effettuare in condizioni di sicurezza le operazioni di riempimento e svuotamento; C – mezzi di presa per rendere sicure ed agevoli le operazioni di movimentazione; </w:t>
      </w:r>
    </w:p>
    <w:p w:rsidR="00954527" w:rsidRDefault="00954527" w:rsidP="00954527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6. In caso di spandimento accidentale dei rifiuti i materiali utilizzati per la loro raccolta, recupero e riassorbimento dovranno essere gestiti secondo le modalità adottate per i rifiuti stessi; </w:t>
      </w:r>
    </w:p>
    <w:p w:rsidR="00954527" w:rsidRPr="00D60C69" w:rsidRDefault="00954527" w:rsidP="00954527">
      <w:pPr>
        <w:rPr>
          <w:rFonts w:ascii="Times New Roman" w:hAnsi="Times New Roman"/>
        </w:rPr>
      </w:pPr>
      <w:r w:rsidRPr="00D60C69">
        <w:rPr>
          <w:rFonts w:ascii="Times New Roman" w:hAnsi="Times New Roman"/>
        </w:rPr>
        <w:t xml:space="preserve">7. Il presente provvedimento è rilasciato esclusivamente ai fini e per gli effetti del decreto legislativo 3 aprile 2006, n. 152. La mancata osservanza delle prescrizioni contenute in leggi, regolamenti e disposizioni amministrative applicabili al caso, con particolare riguardo a quelle in materia di sicurezza sul lavoro, di ambiente e di trasporto, che si intendono qui espressamente richiamate, può condizionare la validità e l'efficacia dell'iscrizione e costituisce infrazione sanzionabile ai sensi degli artt. 19, comma 1, lettera a), e 20, comma 1, lettera d), del D.M. 120/2014. </w:t>
      </w:r>
    </w:p>
    <w:p w:rsidR="0088454C" w:rsidRDefault="0088454C"/>
    <w:sectPr w:rsidR="0088454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96F"/>
    <w:rsid w:val="002C196F"/>
    <w:rsid w:val="0088454C"/>
    <w:rsid w:val="00954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93172E-2FC5-4EA5-A112-2B11F184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54527"/>
    <w:rPr>
      <w:rFonts w:eastAsiaTheme="minorEastAsia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495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Nair Teso</dc:creator>
  <cp:keywords/>
  <dc:description/>
  <cp:lastModifiedBy>Nair Teso</cp:lastModifiedBy>
  <cp:revision>2</cp:revision>
  <dcterms:created xsi:type="dcterms:W3CDTF">2022-03-11T16:31:00Z</dcterms:created>
  <dcterms:modified xsi:type="dcterms:W3CDTF">2022-03-11T16:32:00Z</dcterms:modified>
</cp:coreProperties>
</file>